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7DE" w:rsidRPr="00D127DE" w:rsidRDefault="00D127DE" w:rsidP="00D127DE">
      <w:pPr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D127DE" w:rsidRPr="00D127DE" w:rsidRDefault="00D127DE" w:rsidP="00D127DE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D127DE" w:rsidRPr="00D127DE" w:rsidRDefault="00D127DE" w:rsidP="00D127DE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D127DE" w:rsidRPr="00D127DE" w:rsidRDefault="00D127DE" w:rsidP="00D127DE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D127DE" w:rsidRPr="00D127DE" w:rsidRDefault="00D127DE" w:rsidP="00D127DE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D127DE" w:rsidRPr="00D127DE" w:rsidRDefault="00D127DE" w:rsidP="00D127D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D127DE" w:rsidRPr="00D127DE" w:rsidTr="004D6346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D127DE" w:rsidRPr="00D127DE" w:rsidRDefault="00D127DE" w:rsidP="00D127DE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D127DE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D127DE" w:rsidRPr="00D127DE" w:rsidRDefault="00D127DE" w:rsidP="00D127DE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D127DE">
              <w:rPr>
                <w:rFonts w:ascii="Calibri Light" w:eastAsia="Times New Roman" w:hAnsi="Calibri Light" w:cs="Times New Roman"/>
                <w:szCs w:val="20"/>
                <w:lang w:val="en-US"/>
              </w:rPr>
              <w:t>Borden Ladner Gervais LLP</w:t>
            </w:r>
          </w:p>
        </w:tc>
      </w:tr>
    </w:tbl>
    <w:p w:rsidR="00D127DE" w:rsidRPr="00D127DE" w:rsidRDefault="00D127DE" w:rsidP="00D127D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450"/>
          <w:tab w:val="left" w:pos="1080"/>
          <w:tab w:val="left" w:pos="5040"/>
          <w:tab w:val="left" w:pos="64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r w:rsidRPr="00D127DE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r w:rsidRPr="00D127DE">
        <w:rPr>
          <w:rFonts w:ascii="Calibri Light" w:eastAsia="Times New Roman" w:hAnsi="Calibri Light" w:cs="Times New Roman"/>
          <w:szCs w:val="20"/>
          <w:u w:val="single"/>
          <w:lang w:val="en-US"/>
        </w:rPr>
        <w:t>Notes</w:t>
      </w:r>
    </w:p>
    <w:p w:rsidR="00D127DE" w:rsidRPr="00D127DE" w:rsidRDefault="00D127DE" w:rsidP="00D127DE">
      <w:p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 xml:space="preserve">Borden &amp; Elliot </w:t>
      </w: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 xml:space="preserve">Scott &amp; </w:t>
      </w:r>
      <w:proofErr w:type="spellStart"/>
      <w:r w:rsidRPr="00D127DE">
        <w:rPr>
          <w:rFonts w:ascii="Calibri Light" w:eastAsia="Times New Roman" w:hAnsi="Calibri Light" w:cs="Times New Roman"/>
          <w:szCs w:val="20"/>
          <w:lang w:val="en-US"/>
        </w:rPr>
        <w:t>Aylen</w:t>
      </w:r>
      <w:proofErr w:type="spellEnd"/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6"/>
          <w:attr w:name="Day" w:val="15"/>
          <w:attr w:name="Year" w:val="1999"/>
        </w:smartTagPr>
        <w:r w:rsidRPr="00D127DE">
          <w:rPr>
            <w:rFonts w:ascii="Calibri Light" w:eastAsia="Times New Roman" w:hAnsi="Calibri Light" w:cs="Times New Roman"/>
            <w:szCs w:val="20"/>
            <w:lang w:val="en-US"/>
          </w:rPr>
          <w:t>June 15, 1999</w:t>
        </w:r>
      </w:smartTag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 xml:space="preserve">Borden Elliot Scott &amp; </w:t>
      </w:r>
      <w:proofErr w:type="spellStart"/>
      <w:r w:rsidRPr="00D127DE">
        <w:rPr>
          <w:rFonts w:ascii="Calibri Light" w:eastAsia="Times New Roman" w:hAnsi="Calibri Light" w:cs="Times New Roman"/>
          <w:szCs w:val="20"/>
          <w:lang w:val="en-US"/>
        </w:rPr>
        <w:t>Aylen</w:t>
      </w:r>
      <w:proofErr w:type="spellEnd"/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D127DE">
          <w:rPr>
            <w:rFonts w:ascii="Calibri Light" w:eastAsia="Times New Roman" w:hAnsi="Calibri Light" w:cs="Times New Roman"/>
            <w:szCs w:val="20"/>
            <w:lang w:val="en-US"/>
          </w:rPr>
          <w:t>March 1, 2000</w:t>
        </w:r>
      </w:smartTag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>Ladner Downs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D127DE">
          <w:rPr>
            <w:rFonts w:ascii="Calibri Light" w:eastAsia="Times New Roman" w:hAnsi="Calibri Light" w:cs="Times New Roman"/>
            <w:szCs w:val="20"/>
            <w:lang w:val="en-US"/>
          </w:rPr>
          <w:t>March 1, 2000</w:t>
        </w:r>
      </w:smartTag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>Howard Mackie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D127DE">
          <w:rPr>
            <w:rFonts w:ascii="Calibri Light" w:eastAsia="Times New Roman" w:hAnsi="Calibri Light" w:cs="Times New Roman"/>
            <w:szCs w:val="20"/>
            <w:lang w:val="en-US"/>
          </w:rPr>
          <w:t>March 1, 2000</w:t>
        </w:r>
      </w:smartTag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>McMaster Gervais (“MG”)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D127DE">
          <w:rPr>
            <w:rFonts w:ascii="Calibri Light" w:eastAsia="Times New Roman" w:hAnsi="Calibri Light" w:cs="Times New Roman"/>
            <w:szCs w:val="20"/>
            <w:lang w:val="en-US"/>
          </w:rPr>
          <w:t>March 1, 2000</w:t>
        </w:r>
      </w:smartTag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pacing w:val="-2"/>
          <w:szCs w:val="20"/>
          <w:lang w:val="en-US"/>
        </w:rPr>
        <w:t xml:space="preserve">Borden Ladner Gervais </w:t>
      </w:r>
      <w:proofErr w:type="spellStart"/>
      <w:r w:rsidRPr="00D127DE">
        <w:rPr>
          <w:rFonts w:ascii="Calibri Light" w:eastAsia="Times New Roman" w:hAnsi="Calibri Light" w:cs="Times New Roman"/>
          <w:spacing w:val="-2"/>
          <w:szCs w:val="20"/>
          <w:lang w:val="en-US"/>
        </w:rPr>
        <w:t>s.r.l</w:t>
      </w:r>
      <w:proofErr w:type="spellEnd"/>
      <w:r w:rsidRPr="00D127DE">
        <w:rPr>
          <w:rFonts w:ascii="Calibri Light" w:eastAsia="Times New Roman" w:hAnsi="Calibri Light" w:cs="Times New Roman"/>
          <w:spacing w:val="-2"/>
          <w:szCs w:val="20"/>
          <w:lang w:val="en-US"/>
        </w:rPr>
        <w:t>.</w:t>
      </w: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pacing w:val="-2"/>
          <w:szCs w:val="20"/>
          <w:lang w:val="en-US"/>
        </w:rPr>
        <w:t>Borden Ladner Gervais LLP\</w:t>
      </w:r>
      <w:proofErr w:type="spellStart"/>
      <w:r w:rsidRPr="00D127DE">
        <w:rPr>
          <w:rFonts w:ascii="Calibri Light" w:eastAsia="Times New Roman" w:hAnsi="Calibri Light" w:cs="Times New Roman"/>
          <w:spacing w:val="-2"/>
          <w:szCs w:val="20"/>
          <w:lang w:val="en-US"/>
        </w:rPr>
        <w:t>s.r.l</w:t>
      </w:r>
      <w:proofErr w:type="spellEnd"/>
      <w:r w:rsidRPr="00D127DE">
        <w:rPr>
          <w:rFonts w:ascii="Calibri Light" w:eastAsia="Times New Roman" w:hAnsi="Calibri Light" w:cs="Times New Roman"/>
          <w:spacing w:val="-2"/>
          <w:szCs w:val="20"/>
          <w:lang w:val="en-US"/>
        </w:rPr>
        <w:t>.</w:t>
      </w: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>Mackenzie Gervais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  <w:t>Predecessor firm of MG</w:t>
      </w: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>McMaster Meighen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  <w:t>Predecessor firm of MG</w:t>
      </w: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>Armstrong Perkins Hudson LLP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  <w:t>July 1, 2002</w:t>
      </w: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D127DE">
        <w:rPr>
          <w:rFonts w:ascii="Calibri Light" w:eastAsia="Times New Roman" w:hAnsi="Calibri Light" w:cs="Times New Roman"/>
          <w:szCs w:val="20"/>
          <w:lang w:val="en-US"/>
        </w:rPr>
        <w:t>Shortt</w:t>
      </w:r>
      <w:proofErr w:type="spellEnd"/>
      <w:r w:rsidRPr="00D127DE">
        <w:rPr>
          <w:rFonts w:ascii="Calibri Light" w:eastAsia="Times New Roman" w:hAnsi="Calibri Light" w:cs="Times New Roman"/>
          <w:szCs w:val="20"/>
          <w:lang w:val="en-US"/>
        </w:rPr>
        <w:t xml:space="preserve">, </w:t>
      </w:r>
      <w:proofErr w:type="spellStart"/>
      <w:r w:rsidRPr="00D127DE">
        <w:rPr>
          <w:rFonts w:ascii="Calibri Light" w:eastAsia="Times New Roman" w:hAnsi="Calibri Light" w:cs="Times New Roman"/>
          <w:szCs w:val="20"/>
          <w:lang w:val="en-US"/>
        </w:rPr>
        <w:t>Hanbidge</w:t>
      </w:r>
      <w:proofErr w:type="spellEnd"/>
      <w:r w:rsidRPr="00D127DE">
        <w:rPr>
          <w:rFonts w:ascii="Calibri Light" w:eastAsia="Times New Roman" w:hAnsi="Calibri Light" w:cs="Times New Roman"/>
          <w:szCs w:val="20"/>
          <w:lang w:val="en-US"/>
        </w:rPr>
        <w:t>, Richardson &amp; Welch (‘SHRW”)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  <w:t>Jan. 1, 2008</w:t>
      </w: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432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D127DE">
        <w:rPr>
          <w:rFonts w:ascii="Calibri Light" w:eastAsia="Times New Roman" w:hAnsi="Calibri Light" w:cs="Times New Roman"/>
          <w:szCs w:val="20"/>
          <w:lang w:val="en-US"/>
        </w:rPr>
        <w:t>Shortt</w:t>
      </w:r>
      <w:proofErr w:type="spellEnd"/>
      <w:r w:rsidRPr="00D127DE">
        <w:rPr>
          <w:rFonts w:ascii="Calibri Light" w:eastAsia="Times New Roman" w:hAnsi="Calibri Light" w:cs="Times New Roman"/>
          <w:szCs w:val="20"/>
          <w:lang w:val="en-US"/>
        </w:rPr>
        <w:t xml:space="preserve">, </w:t>
      </w:r>
      <w:proofErr w:type="spellStart"/>
      <w:r w:rsidRPr="00D127DE">
        <w:rPr>
          <w:rFonts w:ascii="Calibri Light" w:eastAsia="Times New Roman" w:hAnsi="Calibri Light" w:cs="Times New Roman"/>
          <w:szCs w:val="20"/>
          <w:lang w:val="en-US"/>
        </w:rPr>
        <w:t>Hanbidge</w:t>
      </w:r>
      <w:proofErr w:type="spellEnd"/>
      <w:r w:rsidRPr="00D127DE">
        <w:rPr>
          <w:rFonts w:ascii="Calibri Light" w:eastAsia="Times New Roman" w:hAnsi="Calibri Light" w:cs="Times New Roman"/>
          <w:szCs w:val="20"/>
          <w:lang w:val="en-US"/>
        </w:rPr>
        <w:t xml:space="preserve">, Snider, </w:t>
      </w:r>
      <w:smartTag w:uri="urn:schemas-microsoft-com:office:smarttags" w:element="place">
        <w:smartTag w:uri="urn:schemas-microsoft-com:office:smarttags" w:element="City">
          <w:r w:rsidRPr="00D127DE">
            <w:rPr>
              <w:rFonts w:ascii="Calibri Light" w:eastAsia="Times New Roman" w:hAnsi="Calibri Light" w:cs="Times New Roman"/>
              <w:szCs w:val="20"/>
              <w:lang w:val="en-US"/>
            </w:rPr>
            <w:t>Richardson</w:t>
          </w:r>
        </w:smartTag>
      </w:smartTag>
      <w:r w:rsidRPr="00D127DE">
        <w:rPr>
          <w:rFonts w:ascii="Calibri Light" w:eastAsia="Times New Roman" w:hAnsi="Calibri Light" w:cs="Times New Roman"/>
          <w:szCs w:val="20"/>
          <w:lang w:val="en-US"/>
        </w:rPr>
        <w:t xml:space="preserve"> &amp; Welch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  <w:t>Predecessor firm of SHRW</w:t>
      </w: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432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D127DE">
        <w:rPr>
          <w:rFonts w:ascii="Calibri Light" w:eastAsia="Times New Roman" w:hAnsi="Calibri Light" w:cs="Times New Roman"/>
          <w:szCs w:val="20"/>
          <w:lang w:val="en-US"/>
        </w:rPr>
        <w:t>Shortt</w:t>
      </w:r>
      <w:proofErr w:type="spellEnd"/>
      <w:r w:rsidRPr="00D127DE">
        <w:rPr>
          <w:rFonts w:ascii="Calibri Light" w:eastAsia="Times New Roman" w:hAnsi="Calibri Light" w:cs="Times New Roman"/>
          <w:szCs w:val="20"/>
          <w:lang w:val="en-US"/>
        </w:rPr>
        <w:t xml:space="preserve">, </w:t>
      </w:r>
      <w:proofErr w:type="spellStart"/>
      <w:r w:rsidRPr="00D127DE">
        <w:rPr>
          <w:rFonts w:ascii="Calibri Light" w:eastAsia="Times New Roman" w:hAnsi="Calibri Light" w:cs="Times New Roman"/>
          <w:szCs w:val="20"/>
          <w:lang w:val="en-US"/>
        </w:rPr>
        <w:t>Hanbidge</w:t>
      </w:r>
      <w:proofErr w:type="spellEnd"/>
      <w:r w:rsidRPr="00D127DE">
        <w:rPr>
          <w:rFonts w:ascii="Calibri Light" w:eastAsia="Times New Roman" w:hAnsi="Calibri Light" w:cs="Times New Roman"/>
          <w:szCs w:val="20"/>
          <w:lang w:val="en-US"/>
        </w:rPr>
        <w:t xml:space="preserve"> &amp; Snider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  <w:t>Predecessor firm of SHRW</w:t>
      </w:r>
    </w:p>
    <w:p w:rsidR="00D127DE" w:rsidRPr="00D127DE" w:rsidRDefault="00D127DE" w:rsidP="00D127DE">
      <w:pPr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spacing w:after="0" w:line="240" w:lineRule="auto"/>
        <w:ind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>Thomas &amp; Partners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  <w:t>June 16, 2008</w:t>
      </w: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0"/>
          <w:tab w:val="left" w:pos="360"/>
          <w:tab w:val="left" w:pos="4320"/>
          <w:tab w:val="left" w:pos="6300"/>
        </w:tabs>
        <w:spacing w:after="0" w:line="240" w:lineRule="auto"/>
        <w:ind w:left="720" w:hanging="72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D127DE" w:rsidRPr="00D127DE" w:rsidRDefault="00D127DE" w:rsidP="00D127DE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D127DE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D127DE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5740B" w:rsidRPr="00D127DE" w:rsidRDefault="00A5740B">
      <w:pPr>
        <w:rPr>
          <w:lang w:val="en-US"/>
        </w:rPr>
      </w:pPr>
      <w:bookmarkStart w:id="0" w:name="_GoBack"/>
      <w:bookmarkEnd w:id="0"/>
    </w:p>
    <w:sectPr w:rsidR="00A5740B" w:rsidRPr="00D127DE" w:rsidSect="00D127DE">
      <w:pgSz w:w="12240" w:h="15840"/>
      <w:pgMar w:top="1440" w:right="1440" w:bottom="1440" w:left="172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DE"/>
    <w:rsid w:val="00A5740B"/>
    <w:rsid w:val="00D1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B30210-7991-4387-9979-2B28A09B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Phillips</dc:creator>
  <cp:keywords/>
  <dc:description/>
  <cp:lastModifiedBy>Meagan Phillips</cp:lastModifiedBy>
  <cp:revision>1</cp:revision>
  <dcterms:created xsi:type="dcterms:W3CDTF">2017-02-21T15:20:00Z</dcterms:created>
  <dcterms:modified xsi:type="dcterms:W3CDTF">2017-02-21T15:24:00Z</dcterms:modified>
</cp:coreProperties>
</file>